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E2" w:rsidRDefault="00532DE2" w:rsidP="00532DE2">
      <w:pPr>
        <w:ind w:hanging="317"/>
        <w:jc w:val="both"/>
        <w:outlineLvl w:val="0"/>
        <w:rPr>
          <w:rFonts w:cs="Arial"/>
          <w:b/>
          <w:sz w:val="16"/>
          <w:szCs w:val="16"/>
        </w:rPr>
      </w:pPr>
    </w:p>
    <w:p w:rsidR="002275AE" w:rsidRPr="002275AE" w:rsidRDefault="002275AE" w:rsidP="00532DE2">
      <w:pPr>
        <w:ind w:hanging="317"/>
        <w:jc w:val="both"/>
        <w:outlineLvl w:val="0"/>
        <w:rPr>
          <w:rFonts w:ascii="Arial" w:hAnsi="Arial" w:cs="Arial"/>
          <w:b/>
        </w:rPr>
      </w:pPr>
      <w:r>
        <w:rPr>
          <w:rFonts w:cs="Arial"/>
          <w:b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</w:rPr>
        <w:t>Załącznik Nr 1</w:t>
      </w:r>
    </w:p>
    <w:p w:rsidR="00532DE2" w:rsidRPr="009604E3" w:rsidRDefault="009604E3" w:rsidP="009604E3">
      <w:pPr>
        <w:pStyle w:val="Tytu"/>
        <w:rPr>
          <w:b w:val="0"/>
        </w:rPr>
      </w:pPr>
      <w:r>
        <w:rPr>
          <w:b w:val="0"/>
        </w:rPr>
        <w:t>Opis przedmiotu zamówienia</w:t>
      </w:r>
    </w:p>
    <w:p w:rsidR="00057FB4" w:rsidRDefault="00057FB4" w:rsidP="00E44A9E">
      <w:pPr>
        <w:ind w:firstLine="708"/>
      </w:pPr>
      <w:r>
        <w:t xml:space="preserve">Serwer </w:t>
      </w:r>
      <w:proofErr w:type="spellStart"/>
      <w:r>
        <w:t>wirtualizacyjny</w:t>
      </w:r>
      <w:proofErr w:type="spellEnd"/>
      <w:r>
        <w:t xml:space="preserve"> – 2 szt.</w:t>
      </w:r>
    </w:p>
    <w:tbl>
      <w:tblPr>
        <w:tblW w:w="8712" w:type="dxa"/>
        <w:tblInd w:w="355" w:type="dxa"/>
        <w:tblLayout w:type="fixed"/>
        <w:tblLook w:val="0000" w:firstRow="0" w:lastRow="0" w:firstColumn="0" w:lastColumn="0" w:noHBand="0" w:noVBand="0"/>
      </w:tblPr>
      <w:tblGrid>
        <w:gridCol w:w="774"/>
        <w:gridCol w:w="1134"/>
        <w:gridCol w:w="3686"/>
        <w:gridCol w:w="3118"/>
      </w:tblGrid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57FB4" w:rsidRPr="00057FB4" w:rsidRDefault="00057FB4" w:rsidP="00057FB4">
            <w:pPr>
              <w:pStyle w:val="Akapitzlist1"/>
              <w:autoSpaceDE w:val="0"/>
              <w:spacing w:after="0" w:line="240" w:lineRule="auto"/>
              <w:ind w:left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LP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57FB4" w:rsidRPr="00057FB4" w:rsidRDefault="00057FB4" w:rsidP="00057FB4">
            <w:pPr>
              <w:pStyle w:val="Akapitzlist1"/>
              <w:autoSpaceDE w:val="0"/>
              <w:spacing w:after="0" w:line="240" w:lineRule="auto"/>
              <w:ind w:left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Parametr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7FB4" w:rsidRPr="00057FB4" w:rsidRDefault="00057FB4" w:rsidP="00057FB4">
            <w:pPr>
              <w:pStyle w:val="Akapitzlist1"/>
              <w:spacing w:after="0" w:line="240" w:lineRule="auto"/>
              <w:ind w:left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Wymagania minimalne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7FB4" w:rsidRPr="00057FB4" w:rsidRDefault="00057FB4" w:rsidP="00057FB4">
            <w:pPr>
              <w:pStyle w:val="Akapitzlist1"/>
              <w:spacing w:after="0" w:line="240" w:lineRule="auto"/>
              <w:ind w:left="0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Oferowany parametr</w:t>
            </w: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Obudowa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Obudowa </w:t>
            </w:r>
            <w:proofErr w:type="spellStart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Rack</w:t>
            </w:r>
            <w:proofErr w:type="spellEnd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o wysokości max 2U z możliwością instalacji min  4 dysków 2.5" wraz z kompletem wysuwanych szyn umożliwiających montaż w szafie </w:t>
            </w:r>
            <w:proofErr w:type="spellStart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rack</w:t>
            </w:r>
            <w:proofErr w:type="spellEnd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i wysuwanie serwera do celów serwisowych oraz organizatorem do kabli.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Płyta główna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Płyta główna z możliwością zainstalowania dwóch procesorów. Płyta główna musi być zaprojektowana przez producenta serwera i oznaczona jego znakiem firmowym.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Chipset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Dedykowany przez producenta procesora do pracy w serwerach dwuprocesorowych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Procesor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A93976" w:rsidRDefault="00A93976" w:rsidP="00A93976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9397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Zainstalowane dwa procesory 10-rdzeniowe rdzeniowe, klasy x86 dedykowane do pracy z zaoferowanym serwerem, umożliwiające osiągnięcie wyniku min. 110 punktów w teście SPEC2017_Integer </w:t>
            </w:r>
            <w:proofErr w:type="spellStart"/>
            <w:r w:rsidRPr="00A9397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Rate_base</w:t>
            </w:r>
            <w:proofErr w:type="spellEnd"/>
            <w:r w:rsidRPr="00A9397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dostępnym na stronie www.spec.org dla dwóch procesorów.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Pamięć RAM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256GB DDR4 DIMM płycie głównej powinno znajdować się minimum 24 slotów przeznaczonych do instalacji pamięci. Płyta główna powinna obsługiwać do 3TB pamięci RAM.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057FB4" w:rsidRPr="002275AE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Zabezpieczenia pamięci RAM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Memory Rank Sparing, Memory Mirror, Advanced ECC, SDDC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</w:pPr>
          </w:p>
        </w:tc>
      </w:tr>
      <w:tr w:rsidR="00057FB4" w:rsidRPr="002275AE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Gniazda </w:t>
            </w:r>
            <w:proofErr w:type="spellStart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PCIe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 xml:space="preserve">4x PCI-Express 3.0 z </w:t>
            </w:r>
            <w:proofErr w:type="spellStart"/>
            <w:r w:rsidRPr="00057FB4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czego</w:t>
            </w:r>
            <w:proofErr w:type="spellEnd"/>
            <w:r w:rsidRPr="00057FB4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 xml:space="preserve"> 1 slot x8 low profile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</w:pP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Interfejsy sieciowe/FC/SAS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Wbudowane minimum 4 porty typu 1GbE Base-T bez zajmowania slotów PCI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2 portowa karta SAS 12Gb (mini SAS HD)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Nośniki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Możliwość instalacji dysków SATA, SAS, SSD, 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Zainstalowane dwie karty </w:t>
            </w:r>
            <w:proofErr w:type="spellStart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microSD</w:t>
            </w:r>
            <w:proofErr w:type="spellEnd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dedykowane dla </w:t>
            </w:r>
            <w:proofErr w:type="spellStart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hypervisora</w:t>
            </w:r>
            <w:proofErr w:type="spellEnd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wirtualizacyjnego</w:t>
            </w:r>
            <w:proofErr w:type="spellEnd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każda o pojemności minimum 64GB, zabezpieczone poziomem RAID 1 z preinstalowanym oprogramowaniem do wirtualizacji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Napęd optyczny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DVD +/- RW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Wbudowane porty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min. 2 porty USB 3.0 z przodu serwera oraz 1 port USB 3.0 – wewnętrzny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eastAsia="Calibri Light" w:hAnsiTheme="majorHAnsi" w:cstheme="majorHAnsi"/>
                <w:i/>
                <w:sz w:val="18"/>
                <w:szCs w:val="18"/>
              </w:rPr>
              <w:t xml:space="preserve"> </w:t>
            </w: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min. 4 porty RJ45 1Gb 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2 porty VGA (1 na przednim panelu obudowy, drugi na tylnym), min. 1 port RS232 (port opcjonalny)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Karta graficzna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Zintegrowana karta graficzna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Wentylatory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Redundantne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Zasilacze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Redundantne, Hot-Plug maksymalnie 850W o sprawności energetycznej 94% klasa </w:t>
            </w:r>
            <w:proofErr w:type="spellStart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Platinium</w:t>
            </w:r>
            <w:proofErr w:type="spellEnd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wraz z dwoma kablami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Bezpieczeństwo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Wbudowane diody informacyjne lub wyświetlacz informujące o stanie serwera (co </w:t>
            </w: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lastRenderedPageBreak/>
              <w:t>najmniej informacja o statusie pracy następujących komponentów: karty rozszerzeń zainstalowane w dowolnym slocie PCI Express, procesory CPU, pamięć RAM z dokładnością umożliwiającą jednoznaczną identyfikację uszkodzonego modułu pamięci RAM, status karty zrządzającej serwera, wentylatory, zasilacze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TPM 2.0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Zarządzanie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Niezależna od zainstalowanego na serwerze systemu operacyjnego posiadająca dedykowane port RJ-45 Gigabit Ethernet umożliwiająca:</w:t>
            </w:r>
          </w:p>
          <w:p w:rsidR="00057FB4" w:rsidRPr="00057FB4" w:rsidRDefault="00057FB4" w:rsidP="00057FB4">
            <w:pPr>
              <w:pStyle w:val="Akapitzlist1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zdalny dostęp do graficznego interfejsu Web karty zarządzającej</w:t>
            </w:r>
          </w:p>
          <w:p w:rsidR="00057FB4" w:rsidRPr="00057FB4" w:rsidRDefault="00057FB4" w:rsidP="00057FB4">
            <w:pPr>
              <w:pStyle w:val="Akapitzlist1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szyfrowane połączenie (TLS) oraz autentykacje i autoryzację użytkownika</w:t>
            </w:r>
          </w:p>
          <w:p w:rsidR="00057FB4" w:rsidRPr="00057FB4" w:rsidRDefault="00057FB4" w:rsidP="00057FB4">
            <w:pPr>
              <w:pStyle w:val="Akapitzlist1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możliwość podmontowania zdalnych wirtualnych napędów</w:t>
            </w:r>
          </w:p>
          <w:p w:rsidR="00057FB4" w:rsidRPr="00057FB4" w:rsidRDefault="00057FB4" w:rsidP="00057FB4">
            <w:pPr>
              <w:pStyle w:val="Akapitzlist1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wirtualną konsolę z dostępem do myszy, klawiatury</w:t>
            </w:r>
          </w:p>
          <w:p w:rsidR="00057FB4" w:rsidRPr="00057FB4" w:rsidRDefault="00057FB4" w:rsidP="00057FB4">
            <w:pPr>
              <w:pStyle w:val="Akapitzlist1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możliwość zdalnego ustawienia limitu poboru prądu przez konkretny serwer</w:t>
            </w:r>
          </w:p>
          <w:p w:rsidR="00057FB4" w:rsidRPr="00057FB4" w:rsidRDefault="00057FB4" w:rsidP="00057FB4">
            <w:pPr>
              <w:pStyle w:val="Akapitzlist1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integracja z Active Directory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Wsparcie dla automatycznej rejestracji DNS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wsparcie dla LLDP 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wysyłanie do administratora maila z powiadomieniem o awarii lub zmianie konfiguracji sprzętowej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możliwość podłączenia lokalnego poprzez złącze RS-232.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Automatyczne zgłaszanie alertów do centrum serwisowego producenta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Automatyczne update </w:t>
            </w:r>
            <w:proofErr w:type="spellStart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firmware</w:t>
            </w:r>
            <w:proofErr w:type="spellEnd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dla wszystkich komponentów serwera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Automatyczne tworzenie kopii ustawień serwera w </w:t>
            </w:r>
            <w:proofErr w:type="spellStart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opraciu</w:t>
            </w:r>
            <w:proofErr w:type="spellEnd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o harmonogram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Możliwość migracji ustawień serwera wraz z wirtualnymi adresami sieciowymi (MAC, WWN, IQN) między urządzeniami. 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Zdalne uruchamianie diagnostyki serwera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Certyfikaty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Serwer musi być wyprodukowany zgodnie z normą  ISO-9001:2015 oraz ISO-14001. 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Serwer musi posiadać deklaracja CE.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Oferowany serwer musi znajdować się na liście Windows Server </w:t>
            </w:r>
            <w:proofErr w:type="spellStart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Catalog</w:t>
            </w:r>
            <w:proofErr w:type="spellEnd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i posiadać status „</w:t>
            </w:r>
            <w:proofErr w:type="spellStart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Certified</w:t>
            </w:r>
            <w:proofErr w:type="spellEnd"/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for Windows” dla systemów Microsoft Windows 2019, Windows Server 2016,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Warunki gwarancji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7 lat gwarancji producenta z czasem gwarantowanej skutecznej naprawy do następnego dnia roboczego od przyjęcia zgłoszenia, 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W przypadku braku możliwości zaoferowania gwarancji ze skutecznym czasem naprawy wymagana jest gwarancja z czasem reakcji na miejscu u klienta 4h od przyjęcia zgłoszenia 7x24.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Zgłaszanie awarii poprzez ogólnopolską linię telefoniczną producenta, adres email oraz formularz zgłoszeniowy online producenta serwera. Zgłoszenia zgłaszane całodobowo 7 dni w tygodniu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Wymagane dołączenie do oferty oświadczenia </w:t>
            </w: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lastRenderedPageBreak/>
              <w:t>Producenta potwierdzając, że Serwis urządzeń będzie realizowany bezpośrednio przez Producenta i/lub we współpracy z Autoryzowanym Partnerem Serwisowym Producenta.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057FB4" w:rsidRPr="00057FB4" w:rsidTr="00057FB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057FB4">
            <w:pPr>
              <w:pStyle w:val="Akapitzlist1"/>
              <w:numPr>
                <w:ilvl w:val="2"/>
                <w:numId w:val="2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Dokumentacja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Zamawiający wymaga dokumentacji w języku polskim lub angielskim.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Możliwość telefonicznego sprawdzenia konfiguracji sprzętowej serwera oraz warunków gwarancji po podaniu numeru seryjnego bezpośrednio u producenta lub jego przedstawiciela.</w:t>
            </w:r>
          </w:p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57FB4">
              <w:rPr>
                <w:rFonts w:asciiTheme="majorHAnsi" w:hAnsiTheme="majorHAnsi" w:cstheme="majorHAnsi"/>
                <w:i/>
                <w:sz w:val="18"/>
                <w:szCs w:val="18"/>
              </w:rPr>
              <w:t>Dostęp do sterowników i uaktualnień przez co najmniej 7 lat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057FB4" w:rsidRDefault="00057FB4" w:rsidP="00272FF0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</w:tbl>
    <w:p w:rsidR="00057FB4" w:rsidRDefault="00057FB4"/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678"/>
        <w:gridCol w:w="3071"/>
        <w:gridCol w:w="2898"/>
      </w:tblGrid>
      <w:tr w:rsidR="0033334F" w:rsidTr="007B2F4E">
        <w:tc>
          <w:tcPr>
            <w:tcW w:w="2678" w:type="dxa"/>
          </w:tcPr>
          <w:p w:rsidR="0033334F" w:rsidRDefault="007B2F4E" w:rsidP="00005FB4">
            <w:r>
              <w:t xml:space="preserve">Opis produktu </w:t>
            </w:r>
            <w:r w:rsidRPr="00005FB4">
              <w:t>(</w:t>
            </w:r>
            <w:r w:rsidR="00005FB4" w:rsidRPr="00005FB4">
              <w:rPr>
                <w:rFonts w:ascii="Calibri Light" w:hAnsi="Calibri Light" w:cs="Calibri Light"/>
                <w:bCs/>
                <w:sz w:val="18"/>
              </w:rPr>
              <w:t xml:space="preserve"> producent</w:t>
            </w:r>
            <w:r w:rsidR="00005FB4">
              <w:rPr>
                <w:rFonts w:ascii="Calibri Light" w:hAnsi="Calibri Light" w:cs="Calibri Light"/>
                <w:bCs/>
                <w:sz w:val="18"/>
              </w:rPr>
              <w:t>, model serwera, model</w:t>
            </w:r>
            <w:r w:rsidR="00005FB4" w:rsidRPr="00005FB4">
              <w:rPr>
                <w:rFonts w:ascii="Calibri Light" w:hAnsi="Calibri Light" w:cs="Calibri Light"/>
                <w:bCs/>
                <w:sz w:val="18"/>
              </w:rPr>
              <w:t xml:space="preserve"> procesora, okresu gwarancji</w:t>
            </w:r>
            <w:r w:rsidRPr="00005FB4">
              <w:t>)</w:t>
            </w:r>
          </w:p>
        </w:tc>
        <w:tc>
          <w:tcPr>
            <w:tcW w:w="3071" w:type="dxa"/>
          </w:tcPr>
          <w:p w:rsidR="0033334F" w:rsidRDefault="007B2F4E">
            <w:r>
              <w:t>Cena netto</w:t>
            </w:r>
            <w:r w:rsidR="006F6FF2">
              <w:t xml:space="preserve"> za 2 </w:t>
            </w:r>
            <w:proofErr w:type="spellStart"/>
            <w:r w:rsidR="006F6FF2">
              <w:t>szt</w:t>
            </w:r>
            <w:proofErr w:type="spellEnd"/>
          </w:p>
        </w:tc>
        <w:tc>
          <w:tcPr>
            <w:tcW w:w="2898" w:type="dxa"/>
          </w:tcPr>
          <w:p w:rsidR="0033334F" w:rsidRDefault="007B2F4E">
            <w:r>
              <w:t>Cena brutto</w:t>
            </w:r>
            <w:r w:rsidR="006F6FF2">
              <w:t xml:space="preserve"> za 2 </w:t>
            </w:r>
            <w:proofErr w:type="spellStart"/>
            <w:r w:rsidR="006F6FF2">
              <w:t>szt</w:t>
            </w:r>
            <w:proofErr w:type="spellEnd"/>
          </w:p>
        </w:tc>
      </w:tr>
      <w:tr w:rsidR="0033334F" w:rsidTr="007B2F4E">
        <w:tc>
          <w:tcPr>
            <w:tcW w:w="2678" w:type="dxa"/>
          </w:tcPr>
          <w:p w:rsidR="0033334F" w:rsidRDefault="0033334F"/>
        </w:tc>
        <w:tc>
          <w:tcPr>
            <w:tcW w:w="3071" w:type="dxa"/>
          </w:tcPr>
          <w:p w:rsidR="0033334F" w:rsidRDefault="0033334F"/>
        </w:tc>
        <w:tc>
          <w:tcPr>
            <w:tcW w:w="2898" w:type="dxa"/>
          </w:tcPr>
          <w:p w:rsidR="0033334F" w:rsidRDefault="0033334F"/>
        </w:tc>
      </w:tr>
    </w:tbl>
    <w:p w:rsidR="0033334F" w:rsidRDefault="0033334F"/>
    <w:p w:rsidR="00057FB4" w:rsidRDefault="00057FB4">
      <w:r>
        <w:tab/>
        <w:t>Dysk wewnętrzny SSD – 5 szt.</w:t>
      </w:r>
    </w:p>
    <w:tbl>
      <w:tblPr>
        <w:tblW w:w="8647" w:type="dxa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5"/>
        <w:gridCol w:w="1985"/>
        <w:gridCol w:w="2997"/>
      </w:tblGrid>
      <w:tr w:rsidR="00057FB4" w:rsidRPr="00A8222C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7FB4" w:rsidRP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 w:rsidRPr="00E44A9E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7FB4" w:rsidRPr="00E44A9E" w:rsidRDefault="00E44A9E" w:rsidP="00E44A9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  <w:lang w:val="en-US" w:eastAsia="pl-PL"/>
              </w:rPr>
            </w:pPr>
            <w:proofErr w:type="spellStart"/>
            <w:r w:rsidRPr="00E44A9E">
              <w:rPr>
                <w:rFonts w:ascii="Calibri Light" w:eastAsia="Times New Roman" w:hAnsi="Calibri Light" w:cs="Calibri Light"/>
                <w:b/>
                <w:sz w:val="18"/>
                <w:szCs w:val="18"/>
                <w:lang w:val="en-US" w:eastAsia="pl-PL"/>
              </w:rPr>
              <w:t>Wymagania</w:t>
            </w:r>
            <w:proofErr w:type="spellEnd"/>
            <w:r w:rsidRPr="00E44A9E">
              <w:rPr>
                <w:rFonts w:ascii="Calibri Light" w:eastAsia="Times New Roman" w:hAnsi="Calibri Light" w:cs="Calibri Light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4A9E">
              <w:rPr>
                <w:rFonts w:ascii="Calibri Light" w:eastAsia="Times New Roman" w:hAnsi="Calibri Light" w:cs="Calibri Light"/>
                <w:b/>
                <w:sz w:val="18"/>
                <w:szCs w:val="18"/>
                <w:lang w:val="en-US" w:eastAsia="pl-PL"/>
              </w:rPr>
              <w:t>minimalne</w:t>
            </w:r>
            <w:proofErr w:type="spell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57FB4" w:rsidRPr="00E44A9E" w:rsidRDefault="00E44A9E" w:rsidP="00E44A9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  <w:lang w:val="en-US" w:eastAsia="pl-PL"/>
              </w:rPr>
            </w:pPr>
            <w:r w:rsidRPr="00E44A9E">
              <w:rPr>
                <w:rFonts w:ascii="Calibri Light" w:eastAsia="Times New Roman" w:hAnsi="Calibri Light" w:cs="Calibri Light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4A9E">
              <w:rPr>
                <w:rFonts w:ascii="Calibri Light" w:eastAsia="Times New Roman" w:hAnsi="Calibri Light" w:cs="Calibri Light"/>
                <w:b/>
                <w:sz w:val="18"/>
                <w:szCs w:val="18"/>
                <w:lang w:val="en-US" w:eastAsia="pl-PL"/>
              </w:rPr>
              <w:t>Oferowany</w:t>
            </w:r>
            <w:proofErr w:type="spellEnd"/>
            <w:r w:rsidRPr="00E44A9E">
              <w:rPr>
                <w:rFonts w:ascii="Calibri Light" w:eastAsia="Times New Roman" w:hAnsi="Calibri Light" w:cs="Calibri Light"/>
                <w:b/>
                <w:sz w:val="18"/>
                <w:szCs w:val="18"/>
                <w:lang w:val="en-US" w:eastAsia="pl-PL"/>
              </w:rPr>
              <w:t xml:space="preserve"> parameter </w:t>
            </w:r>
          </w:p>
        </w:tc>
      </w:tr>
      <w:tr w:rsidR="00057FB4" w:rsidRPr="002275AE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Rodzaj dysku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Pr="00A8222C" w:rsidRDefault="00057FB4" w:rsidP="00272FF0">
            <w:pPr>
              <w:spacing w:after="0" w:line="240" w:lineRule="auto"/>
              <w:rPr>
                <w:lang w:val="en-US"/>
              </w:rPr>
            </w:pPr>
            <w:r w:rsidRPr="00A8222C">
              <w:rPr>
                <w:rFonts w:ascii="Calibri Light" w:eastAsia="Times New Roman" w:hAnsi="Calibri Light" w:cs="Calibri Light"/>
                <w:sz w:val="18"/>
                <w:szCs w:val="18"/>
                <w:lang w:val="en-US" w:eastAsia="pl-PL"/>
              </w:rPr>
              <w:t>SSD |Solid State Disc| (FLASH memory)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Pr="00A8222C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val="en-US" w:eastAsia="pl-PL"/>
              </w:rPr>
            </w:pPr>
          </w:p>
        </w:tc>
      </w:tr>
      <w:tr w:rsidR="00057FB4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Format szerokości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2,5 cali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057FB4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Program licencjonowania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500 GB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057FB4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Pojemność pamięci FLASH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500 GB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057FB4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Serial ATA 600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057FB4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Szybkość interfejsu dysku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6 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Gb</w:t>
            </w:r>
            <w:proofErr w:type="spellEnd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/s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057FB4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Szybkość odczytu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560 MB/s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057FB4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Szybkość zapisu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530 MB/s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057FB4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Losowa wartość IOPS (4K) - odczyt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95000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057FB4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Losowa wartość IOPS (4K) - zapis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84000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057FB4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Średni czas między uszkodzeniami (MTBF)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1750000 h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057FB4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SATA (15pin)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057FB4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69,85 mm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057FB4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 mm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057FB4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Długość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100,2 mm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057FB4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Rodzina produktów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SSD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057FB4" w:rsidTr="00F26AB4">
        <w:trPr>
          <w:trHeight w:val="28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24 miesiące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B4" w:rsidRDefault="00057FB4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</w:tbl>
    <w:p w:rsidR="00057FB4" w:rsidRDefault="00057FB4"/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678"/>
        <w:gridCol w:w="3071"/>
        <w:gridCol w:w="2898"/>
      </w:tblGrid>
      <w:tr w:rsidR="007B2F4E" w:rsidTr="002275AE">
        <w:tc>
          <w:tcPr>
            <w:tcW w:w="2678" w:type="dxa"/>
          </w:tcPr>
          <w:p w:rsidR="007B2F4E" w:rsidRDefault="007B2F4E" w:rsidP="007B2F4E">
            <w:r>
              <w:t xml:space="preserve">Opis produktu </w:t>
            </w:r>
            <w:r w:rsidR="00393596">
              <w:t xml:space="preserve"> </w:t>
            </w:r>
            <w:r w:rsidR="00393596" w:rsidRPr="00005FB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393596" w:rsidRPr="00005FB4">
              <w:rPr>
                <w:rFonts w:asciiTheme="minorHAnsi" w:hAnsiTheme="minorHAnsi" w:cstheme="minorHAnsi"/>
                <w:bCs/>
                <w:sz w:val="18"/>
                <w:szCs w:val="18"/>
              </w:rPr>
              <w:t>producent</w:t>
            </w:r>
            <w:r w:rsidR="0039359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oraz model</w:t>
            </w:r>
            <w:r w:rsidR="00393596" w:rsidRPr="00005FB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dysku</w:t>
            </w:r>
            <w:r w:rsidR="00393596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071" w:type="dxa"/>
          </w:tcPr>
          <w:p w:rsidR="007B2F4E" w:rsidRDefault="007B2F4E" w:rsidP="002275AE">
            <w:r>
              <w:t>Cena netto</w:t>
            </w:r>
            <w:r w:rsidR="006F6FF2">
              <w:t xml:space="preserve"> za 5 </w:t>
            </w:r>
            <w:proofErr w:type="spellStart"/>
            <w:r w:rsidR="006F6FF2">
              <w:t>szt</w:t>
            </w:r>
            <w:proofErr w:type="spellEnd"/>
          </w:p>
        </w:tc>
        <w:tc>
          <w:tcPr>
            <w:tcW w:w="2898" w:type="dxa"/>
          </w:tcPr>
          <w:p w:rsidR="007B2F4E" w:rsidRDefault="007B2F4E" w:rsidP="002275AE">
            <w:r>
              <w:t>Cena brutto</w:t>
            </w:r>
            <w:r w:rsidR="006F6FF2">
              <w:t xml:space="preserve"> za 5 </w:t>
            </w:r>
            <w:proofErr w:type="spellStart"/>
            <w:r w:rsidR="006F6FF2">
              <w:t>szt</w:t>
            </w:r>
            <w:proofErr w:type="spellEnd"/>
          </w:p>
        </w:tc>
      </w:tr>
      <w:tr w:rsidR="007B2F4E" w:rsidTr="002275AE">
        <w:tc>
          <w:tcPr>
            <w:tcW w:w="2678" w:type="dxa"/>
          </w:tcPr>
          <w:p w:rsidR="007B2F4E" w:rsidRDefault="007B2F4E" w:rsidP="002275AE"/>
        </w:tc>
        <w:tc>
          <w:tcPr>
            <w:tcW w:w="3071" w:type="dxa"/>
          </w:tcPr>
          <w:p w:rsidR="007B2F4E" w:rsidRDefault="007B2F4E" w:rsidP="002275AE"/>
        </w:tc>
        <w:tc>
          <w:tcPr>
            <w:tcW w:w="2898" w:type="dxa"/>
          </w:tcPr>
          <w:p w:rsidR="007B2F4E" w:rsidRDefault="007B2F4E" w:rsidP="002275AE"/>
        </w:tc>
      </w:tr>
    </w:tbl>
    <w:p w:rsidR="007B2F4E" w:rsidRDefault="007B2F4E"/>
    <w:p w:rsidR="009604E3" w:rsidRDefault="009604E3"/>
    <w:p w:rsidR="007B2F4E" w:rsidRDefault="00E44A9E" w:rsidP="00E44A9E">
      <w:pPr>
        <w:rPr>
          <w:b/>
        </w:rPr>
      </w:pPr>
      <w:r>
        <w:rPr>
          <w:b/>
        </w:rPr>
        <w:tab/>
      </w:r>
    </w:p>
    <w:p w:rsidR="00E44A9E" w:rsidRPr="00E44A9E" w:rsidRDefault="00E44A9E" w:rsidP="00E44A9E">
      <w:pPr>
        <w:rPr>
          <w:b/>
        </w:rPr>
      </w:pPr>
      <w:r>
        <w:lastRenderedPageBreak/>
        <w:t>Pamięć DDR3 – 5 szt.</w:t>
      </w:r>
    </w:p>
    <w:tbl>
      <w:tblPr>
        <w:tblW w:w="8647" w:type="dxa"/>
        <w:tblInd w:w="2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5"/>
        <w:gridCol w:w="1982"/>
        <w:gridCol w:w="3000"/>
      </w:tblGrid>
      <w:tr w:rsidR="00E44A9E" w:rsidRPr="00E44A9E" w:rsidTr="00F26AB4">
        <w:trPr>
          <w:trHeight w:val="263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4A9E" w:rsidRP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 w:rsidRPr="00E44A9E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4A9E" w:rsidRP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  <w:t>Wymagania minimalne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44A9E" w:rsidRP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  <w:t>Oferowany parametr</w:t>
            </w:r>
          </w:p>
        </w:tc>
      </w:tr>
      <w:tr w:rsidR="00E44A9E" w:rsidTr="00F26AB4">
        <w:trPr>
          <w:trHeight w:val="263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A9E" w:rsidRPr="00A8222C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Pojemność pamięci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A9E" w:rsidRPr="00A8222C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8192 MB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44A9E" w:rsidTr="00F26AB4">
        <w:trPr>
          <w:trHeight w:val="263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A9E" w:rsidRPr="00A8222C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Częstotliwość szyny pamięci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A9E" w:rsidRPr="00A8222C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1600 MHz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44A9E" w:rsidTr="00F26AB4">
        <w:trPr>
          <w:trHeight w:val="263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A9E" w:rsidRPr="00A8222C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Typ pamięci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A9E" w:rsidRPr="00A8222C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•  Non-ECC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44A9E" w:rsidTr="00F26AB4">
        <w:trPr>
          <w:trHeight w:val="263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A9E" w:rsidRPr="00A8222C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•  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Unbuffered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44A9E" w:rsidTr="00F26AB4">
        <w:trPr>
          <w:trHeight w:val="263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A9E" w:rsidRPr="00A8222C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pamięci w zestawie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A9E" w:rsidRPr="00A8222C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44A9E" w:rsidTr="00F26AB4">
        <w:trPr>
          <w:trHeight w:val="263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A9E" w:rsidRPr="00A8222C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Opóźnienie CAS 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Latency</w:t>
            </w:r>
            <w:proofErr w:type="spellEnd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(CL)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A9E" w:rsidRPr="00A8222C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CL11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44A9E" w:rsidTr="00F26AB4">
        <w:trPr>
          <w:trHeight w:val="263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A9E" w:rsidRPr="00A8222C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Radiator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A9E" w:rsidRPr="00A8222C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44A9E" w:rsidRPr="00A8222C" w:rsidTr="00F26AB4">
        <w:trPr>
          <w:trHeight w:val="263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A9E" w:rsidRPr="00A8222C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A9E" w:rsidRPr="00A8222C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Napięcie: 1.5V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44A9E" w:rsidRPr="00A8222C" w:rsidTr="00F26AB4">
        <w:trPr>
          <w:trHeight w:val="263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24 miesiące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</w:tbl>
    <w:p w:rsidR="00E44A9E" w:rsidRDefault="00E44A9E"/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678"/>
        <w:gridCol w:w="3071"/>
        <w:gridCol w:w="2898"/>
      </w:tblGrid>
      <w:tr w:rsidR="007B2F4E" w:rsidTr="002275AE">
        <w:tc>
          <w:tcPr>
            <w:tcW w:w="2678" w:type="dxa"/>
          </w:tcPr>
          <w:p w:rsidR="007B2F4E" w:rsidRPr="00005FB4" w:rsidRDefault="007B2F4E" w:rsidP="00A64F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5FB4">
              <w:rPr>
                <w:rFonts w:asciiTheme="minorHAnsi" w:hAnsiTheme="minorHAnsi" w:cstheme="minorHAnsi"/>
                <w:sz w:val="18"/>
                <w:szCs w:val="18"/>
              </w:rPr>
              <w:t xml:space="preserve">Opis produktu </w:t>
            </w:r>
            <w:r w:rsidR="00005FB4" w:rsidRPr="00005FB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05FB4" w:rsidRPr="00005FB4">
              <w:rPr>
                <w:rFonts w:asciiTheme="minorHAnsi" w:hAnsiTheme="minorHAnsi" w:cstheme="minorHAnsi"/>
                <w:bCs/>
                <w:sz w:val="18"/>
                <w:szCs w:val="18"/>
              </w:rPr>
              <w:t>producent</w:t>
            </w:r>
            <w:r w:rsidR="00A64FDC">
              <w:rPr>
                <w:rFonts w:asciiTheme="minorHAnsi" w:hAnsiTheme="minorHAnsi" w:cstheme="minorHAnsi"/>
                <w:bCs/>
                <w:sz w:val="18"/>
                <w:szCs w:val="18"/>
              </w:rPr>
              <w:t>, pojemność pamięci, częstotliwość szyny, okres gwarancji</w:t>
            </w:r>
            <w:r w:rsidR="00005FB4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071" w:type="dxa"/>
          </w:tcPr>
          <w:p w:rsidR="007B2F4E" w:rsidRDefault="007B2F4E" w:rsidP="002275AE">
            <w:r>
              <w:t>Cena netto</w:t>
            </w:r>
            <w:r w:rsidR="006F6FF2">
              <w:t xml:space="preserve"> za 5 </w:t>
            </w:r>
            <w:proofErr w:type="spellStart"/>
            <w:r w:rsidR="006F6FF2">
              <w:t>szt</w:t>
            </w:r>
            <w:proofErr w:type="spellEnd"/>
          </w:p>
        </w:tc>
        <w:tc>
          <w:tcPr>
            <w:tcW w:w="2898" w:type="dxa"/>
          </w:tcPr>
          <w:p w:rsidR="007B2F4E" w:rsidRDefault="007B2F4E" w:rsidP="002275AE">
            <w:r>
              <w:t>Cena brutto</w:t>
            </w:r>
            <w:r w:rsidR="006F6FF2">
              <w:t xml:space="preserve"> za 5 </w:t>
            </w:r>
            <w:proofErr w:type="spellStart"/>
            <w:r w:rsidR="006F6FF2">
              <w:t>szt</w:t>
            </w:r>
            <w:proofErr w:type="spellEnd"/>
          </w:p>
        </w:tc>
      </w:tr>
      <w:tr w:rsidR="007B2F4E" w:rsidTr="002275AE">
        <w:tc>
          <w:tcPr>
            <w:tcW w:w="2678" w:type="dxa"/>
          </w:tcPr>
          <w:p w:rsidR="007B2F4E" w:rsidRDefault="007B2F4E" w:rsidP="002275AE"/>
        </w:tc>
        <w:tc>
          <w:tcPr>
            <w:tcW w:w="3071" w:type="dxa"/>
          </w:tcPr>
          <w:p w:rsidR="007B2F4E" w:rsidRDefault="007B2F4E" w:rsidP="002275AE"/>
        </w:tc>
        <w:tc>
          <w:tcPr>
            <w:tcW w:w="2898" w:type="dxa"/>
          </w:tcPr>
          <w:p w:rsidR="007B2F4E" w:rsidRDefault="007B2F4E" w:rsidP="002275AE"/>
        </w:tc>
      </w:tr>
    </w:tbl>
    <w:p w:rsidR="007B2F4E" w:rsidRDefault="007B2F4E"/>
    <w:p w:rsidR="00E44A9E" w:rsidRDefault="00E44A9E" w:rsidP="00E44A9E">
      <w:pPr>
        <w:ind w:firstLine="708"/>
      </w:pPr>
      <w:r>
        <w:t xml:space="preserve"> Dysk zewnętrzny – 1 szt.</w:t>
      </w:r>
    </w:p>
    <w:tbl>
      <w:tblPr>
        <w:tblW w:w="8647" w:type="dxa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5"/>
        <w:gridCol w:w="4220"/>
        <w:gridCol w:w="3142"/>
      </w:tblGrid>
      <w:tr w:rsidR="00E44A9E" w:rsidTr="00F26AB4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4A9E" w:rsidRP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 w:rsidRPr="00E44A9E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4A9E" w:rsidRP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  <w:t>Wymagania minimalne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44A9E" w:rsidRP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  <w:t>Oferowany parametr</w:t>
            </w:r>
          </w:p>
        </w:tc>
      </w:tr>
      <w:tr w:rsidR="00E44A9E" w:rsidTr="00F26AB4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Dysk twardy - zewnętrzny (desktop) - gniazdo blokady zabezpieczeń (kabel blokady sprzedawany oddzielnie), autoryzacja hasła, automatyczne tworzenie kopii, kompatybilne z Apple Time Machine, sformatowano zgodnie z 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exFAT</w:t>
            </w:r>
            <w:proofErr w:type="spell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44A9E" w:rsidTr="00F26AB4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 TB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44A9E" w:rsidTr="00F26AB4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Kodowanie sprzętu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44A9E" w:rsidTr="00F26AB4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Algorytm kodowania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256 bitów AES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44A9E" w:rsidTr="00F26AB4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44A9E" w:rsidTr="00F26AB4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Szybkość 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przesyłu</w:t>
            </w:r>
            <w:proofErr w:type="spellEnd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danych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5.0 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Gbps</w:t>
            </w:r>
            <w:proofErr w:type="spellEnd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(USB 3.0) / 480 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Mbps</w:t>
            </w:r>
            <w:proofErr w:type="spellEnd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(USB 2.0)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44A9E" w:rsidTr="00F26AB4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Gniazdo blokady zabezpieczeń (kabel blokady sprzedawany oddzielnie), autoryzacja hasła, automatyczne tworzenie kopii, kompatybilne z Apple Time Machine, sformatowano zgodnie z 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exFAT</w:t>
            </w:r>
            <w:proofErr w:type="spell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44A9E" w:rsidTr="00F26AB4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Źródło zasilania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Dołączony zasilacz AC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44A9E" w:rsidTr="00F26AB4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24 miesiące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9E" w:rsidRDefault="00E44A9E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</w:tbl>
    <w:p w:rsidR="00532DE2" w:rsidRDefault="00532DE2" w:rsidP="00532DE2">
      <w:pPr>
        <w:jc w:val="both"/>
        <w:rPr>
          <w:rFonts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678"/>
        <w:gridCol w:w="3071"/>
        <w:gridCol w:w="2898"/>
      </w:tblGrid>
      <w:tr w:rsidR="007B2F4E" w:rsidTr="002275AE">
        <w:tc>
          <w:tcPr>
            <w:tcW w:w="2678" w:type="dxa"/>
          </w:tcPr>
          <w:p w:rsidR="007B2F4E" w:rsidRDefault="007B2F4E" w:rsidP="002275AE">
            <w:r>
              <w:t xml:space="preserve">Opis produktu </w:t>
            </w:r>
            <w:r w:rsidR="00A64FDC" w:rsidRPr="00005FB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A64FDC" w:rsidRPr="00005FB4">
              <w:rPr>
                <w:rFonts w:asciiTheme="minorHAnsi" w:hAnsiTheme="minorHAnsi" w:cstheme="minorHAnsi"/>
                <w:bCs/>
                <w:sz w:val="18"/>
                <w:szCs w:val="18"/>
              </w:rPr>
              <w:t>producent</w:t>
            </w:r>
            <w:r w:rsidR="00A64FD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oraz model</w:t>
            </w:r>
            <w:r w:rsidR="00A64FDC" w:rsidRPr="00005FB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dysku</w:t>
            </w:r>
            <w:r w:rsidR="00A64FDC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071" w:type="dxa"/>
          </w:tcPr>
          <w:p w:rsidR="007B2F4E" w:rsidRDefault="007B2F4E" w:rsidP="002275AE">
            <w:r>
              <w:t>Cena netto</w:t>
            </w:r>
            <w:r w:rsidR="006F6FF2">
              <w:t xml:space="preserve"> za 1 </w:t>
            </w:r>
            <w:proofErr w:type="spellStart"/>
            <w:r w:rsidR="006F6FF2">
              <w:t>szt</w:t>
            </w:r>
            <w:proofErr w:type="spellEnd"/>
          </w:p>
        </w:tc>
        <w:tc>
          <w:tcPr>
            <w:tcW w:w="2898" w:type="dxa"/>
          </w:tcPr>
          <w:p w:rsidR="007B2F4E" w:rsidRDefault="007B2F4E" w:rsidP="002275AE">
            <w:r>
              <w:t>Cena brutto</w:t>
            </w:r>
            <w:r w:rsidR="006F6FF2">
              <w:t xml:space="preserve"> za 1 </w:t>
            </w:r>
            <w:proofErr w:type="spellStart"/>
            <w:r w:rsidR="006F6FF2">
              <w:t>szt</w:t>
            </w:r>
            <w:proofErr w:type="spellEnd"/>
          </w:p>
        </w:tc>
      </w:tr>
      <w:tr w:rsidR="007B2F4E" w:rsidTr="002275AE">
        <w:tc>
          <w:tcPr>
            <w:tcW w:w="2678" w:type="dxa"/>
          </w:tcPr>
          <w:p w:rsidR="007B2F4E" w:rsidRDefault="007B2F4E" w:rsidP="002275AE"/>
        </w:tc>
        <w:tc>
          <w:tcPr>
            <w:tcW w:w="3071" w:type="dxa"/>
          </w:tcPr>
          <w:p w:rsidR="007B2F4E" w:rsidRDefault="007B2F4E" w:rsidP="002275AE"/>
        </w:tc>
        <w:tc>
          <w:tcPr>
            <w:tcW w:w="2898" w:type="dxa"/>
          </w:tcPr>
          <w:p w:rsidR="007B2F4E" w:rsidRDefault="007B2F4E" w:rsidP="002275AE"/>
        </w:tc>
      </w:tr>
    </w:tbl>
    <w:p w:rsidR="007B2F4E" w:rsidRDefault="007B2F4E" w:rsidP="00532DE2">
      <w:pPr>
        <w:jc w:val="both"/>
        <w:rPr>
          <w:rFonts w:cs="Arial"/>
          <w:b/>
          <w:sz w:val="20"/>
          <w:szCs w:val="20"/>
        </w:rPr>
      </w:pPr>
    </w:p>
    <w:p w:rsidR="00A64FDC" w:rsidRDefault="00B26240" w:rsidP="00B26240">
      <w:pPr>
        <w:rPr>
          <w:rFonts w:asciiTheme="majorHAnsi" w:hAnsiTheme="majorHAnsi" w:cstheme="majorHAnsi"/>
          <w:sz w:val="20"/>
          <w:szCs w:val="20"/>
        </w:rPr>
      </w:pPr>
      <w:r w:rsidRPr="00B26240">
        <w:rPr>
          <w:rFonts w:asciiTheme="majorHAnsi" w:hAnsiTheme="majorHAnsi" w:cstheme="majorHAnsi"/>
          <w:sz w:val="20"/>
          <w:szCs w:val="20"/>
        </w:rPr>
        <w:t>​</w:t>
      </w:r>
      <w:r>
        <w:rPr>
          <w:rFonts w:asciiTheme="majorHAnsi" w:hAnsiTheme="majorHAnsi" w:cstheme="majorHAnsi"/>
          <w:sz w:val="20"/>
          <w:szCs w:val="20"/>
        </w:rPr>
        <w:tab/>
      </w:r>
    </w:p>
    <w:p w:rsidR="00A64FDC" w:rsidRDefault="00A64FDC" w:rsidP="00B26240">
      <w:pPr>
        <w:rPr>
          <w:rFonts w:asciiTheme="majorHAnsi" w:hAnsiTheme="majorHAnsi" w:cstheme="majorHAnsi"/>
          <w:sz w:val="20"/>
          <w:szCs w:val="20"/>
        </w:rPr>
      </w:pPr>
    </w:p>
    <w:p w:rsidR="00A64FDC" w:rsidRDefault="00A64FDC" w:rsidP="00B26240">
      <w:pPr>
        <w:rPr>
          <w:rFonts w:asciiTheme="majorHAnsi" w:hAnsiTheme="majorHAnsi" w:cstheme="majorHAnsi"/>
          <w:sz w:val="20"/>
          <w:szCs w:val="20"/>
        </w:rPr>
      </w:pPr>
    </w:p>
    <w:p w:rsidR="00B26240" w:rsidRPr="00B26240" w:rsidRDefault="00B26240" w:rsidP="00B26240">
      <w:pPr>
        <w:rPr>
          <w:rFonts w:asciiTheme="minorHAnsi" w:hAnsiTheme="minorHAnsi" w:cstheme="minorHAnsi"/>
        </w:rPr>
      </w:pPr>
      <w:r w:rsidRPr="00B26240">
        <w:lastRenderedPageBreak/>
        <w:t>Oprogramowanie do podłączania pulpitu zdalnego przez Internet – 1 szt.</w:t>
      </w:r>
    </w:p>
    <w:tbl>
      <w:tblPr>
        <w:tblW w:w="8505" w:type="dxa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20"/>
        <w:gridCol w:w="4285"/>
      </w:tblGrid>
      <w:tr w:rsidR="00B26240" w:rsidTr="00B26240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26240" w:rsidRPr="00E44A9E" w:rsidRDefault="00B26240" w:rsidP="00272FF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  <w:t>Wymagania minimalne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26240" w:rsidRPr="00E44A9E" w:rsidRDefault="00B26240" w:rsidP="00272FF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  <w:t>Oferowany parametr</w:t>
            </w:r>
          </w:p>
        </w:tc>
      </w:tr>
      <w:tr w:rsidR="00B26240" w:rsidTr="00B26240">
        <w:trPr>
          <w:trHeight w:val="40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40" w:rsidRDefault="00B26240" w:rsidP="00B26240">
            <w:pPr>
              <w:suppressAutoHyphens w:val="0"/>
              <w:spacing w:before="100" w:beforeAutospacing="1" w:after="0" w:line="240" w:lineRule="auto"/>
            </w:pPr>
            <w:r w:rsidRPr="00B262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Nie wymaga rejestracji, instalacji, czy konfiguracji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0" w:rsidRDefault="00B26240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B26240" w:rsidTr="00B26240">
        <w:trPr>
          <w:trHeight w:val="39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40" w:rsidRDefault="00B26240" w:rsidP="00B26240">
            <w:pPr>
              <w:suppressAutoHyphens w:val="0"/>
              <w:spacing w:before="100" w:beforeAutospacing="1" w:after="0" w:line="240" w:lineRule="auto"/>
            </w:pPr>
            <w:r w:rsidRPr="00B262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Łączy się z komputerami za NAT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0" w:rsidRDefault="00B26240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B26240" w:rsidTr="00B26240">
        <w:trPr>
          <w:trHeight w:val="38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40" w:rsidRDefault="00B26240" w:rsidP="00B26240">
            <w:pPr>
              <w:suppressAutoHyphens w:val="0"/>
              <w:spacing w:before="100" w:beforeAutospacing="1" w:after="0" w:line="240" w:lineRule="auto"/>
            </w:pPr>
            <w:r w:rsidRPr="00B262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Kreowanie marki + wstępna konfiguracja praw dostępu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0" w:rsidRDefault="00B26240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B26240" w:rsidTr="00B26240">
        <w:trPr>
          <w:trHeight w:val="37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40" w:rsidRPr="00B26240" w:rsidRDefault="00B26240" w:rsidP="00B26240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262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Wbudowany system SOS dla wsparcia technicznego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0" w:rsidRDefault="00B26240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B26240" w:rsidTr="00B26240">
        <w:trPr>
          <w:trHeight w:val="39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40" w:rsidRDefault="00B26240" w:rsidP="00B26240">
            <w:pPr>
              <w:suppressAutoHyphens w:val="0"/>
              <w:spacing w:before="100" w:beforeAutospacing="1" w:after="0" w:line="240" w:lineRule="auto"/>
            </w:pPr>
            <w:r w:rsidRPr="00B262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Mały rozmiar, przenośny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0" w:rsidRDefault="00B26240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B26240" w:rsidTr="00B26240">
        <w:trPr>
          <w:trHeight w:val="37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40" w:rsidRPr="00B26240" w:rsidRDefault="00B26240" w:rsidP="00B26240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262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Bezpieczne przesyłanie plików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0" w:rsidRDefault="00B26240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B26240" w:rsidTr="00B26240">
        <w:trPr>
          <w:trHeight w:val="38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40" w:rsidRDefault="00B26240" w:rsidP="00B26240">
            <w:pPr>
              <w:suppressAutoHyphens w:val="0"/>
              <w:spacing w:before="100" w:beforeAutospacing="1" w:after="0" w:line="240" w:lineRule="auto"/>
            </w:pPr>
            <w:r w:rsidRPr="00B262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Dostęp nienadzorowany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0" w:rsidRDefault="00B26240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B26240" w:rsidTr="00B26240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40" w:rsidRDefault="00B26240" w:rsidP="00B26240">
            <w:pPr>
              <w:suppressAutoHyphens w:val="0"/>
              <w:spacing w:before="100" w:beforeAutospacing="1" w:after="0" w:line="240" w:lineRule="auto"/>
            </w:pPr>
            <w:r w:rsidRPr="00B262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Zdalne wylogowanie użytkownika, ponowne uruchomienie (w tym w trybie awaryjnym)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0" w:rsidRDefault="00B26240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B26240" w:rsidTr="00B26240">
        <w:trPr>
          <w:trHeight w:val="32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40" w:rsidRDefault="00B26240" w:rsidP="00B26240">
            <w:pPr>
              <w:suppressAutoHyphens w:val="0"/>
              <w:spacing w:before="100" w:beforeAutospacing="1"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B262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Całkowite szyfrowanie AES + RSA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0" w:rsidRDefault="00B26240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B26240" w:rsidTr="00B26240">
        <w:trPr>
          <w:trHeight w:val="38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40" w:rsidRDefault="00B26240" w:rsidP="00B26240">
            <w:pPr>
              <w:suppressAutoHyphens w:val="0"/>
              <w:spacing w:before="100" w:beforeAutospacing="1"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B262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Uwierzytelnianie dwuskładnikowe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0" w:rsidRDefault="00B26240" w:rsidP="00272FF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</w:tbl>
    <w:p w:rsidR="00B26240" w:rsidRDefault="00B26240" w:rsidP="00532DE2">
      <w:pPr>
        <w:jc w:val="both"/>
        <w:rPr>
          <w:rFonts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678"/>
        <w:gridCol w:w="3071"/>
        <w:gridCol w:w="2756"/>
      </w:tblGrid>
      <w:tr w:rsidR="007B2F4E" w:rsidTr="00CA3761">
        <w:tc>
          <w:tcPr>
            <w:tcW w:w="2678" w:type="dxa"/>
          </w:tcPr>
          <w:p w:rsidR="007B2F4E" w:rsidRPr="00005FB4" w:rsidRDefault="007B2F4E" w:rsidP="00005FB4">
            <w:pPr>
              <w:tabs>
                <w:tab w:val="left" w:pos="348"/>
              </w:tabs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5FB4">
              <w:rPr>
                <w:rFonts w:asciiTheme="minorHAnsi" w:hAnsiTheme="minorHAnsi" w:cstheme="minorHAnsi"/>
                <w:sz w:val="18"/>
                <w:szCs w:val="18"/>
              </w:rPr>
              <w:t xml:space="preserve">Opis produktu </w:t>
            </w:r>
            <w:r w:rsidR="00005FB4" w:rsidRPr="00005FB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05FB4">
              <w:rPr>
                <w:rFonts w:asciiTheme="minorHAnsi" w:hAnsiTheme="minorHAnsi" w:cstheme="minorHAnsi"/>
                <w:bCs/>
                <w:sz w:val="18"/>
                <w:szCs w:val="18"/>
              </w:rPr>
              <w:t>producent, dokładna</w:t>
            </w:r>
            <w:r w:rsidR="00005FB4" w:rsidRPr="00005FB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nazw</w:t>
            </w:r>
            <w:r w:rsidR="00005FB4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="00005FB4" w:rsidRPr="00005FB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oferowanego oprogramowania</w:t>
            </w:r>
            <w:r w:rsidR="00005FB4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071" w:type="dxa"/>
          </w:tcPr>
          <w:p w:rsidR="007B2F4E" w:rsidRDefault="007B2F4E" w:rsidP="002275AE">
            <w:r>
              <w:t>Cena netto</w:t>
            </w:r>
            <w:r w:rsidR="006F6FF2">
              <w:t xml:space="preserve"> za 1 </w:t>
            </w:r>
            <w:proofErr w:type="spellStart"/>
            <w:r w:rsidR="006F6FF2">
              <w:t>szt</w:t>
            </w:r>
            <w:proofErr w:type="spellEnd"/>
          </w:p>
        </w:tc>
        <w:tc>
          <w:tcPr>
            <w:tcW w:w="2756" w:type="dxa"/>
          </w:tcPr>
          <w:p w:rsidR="007B2F4E" w:rsidRDefault="007B2F4E" w:rsidP="002275AE">
            <w:r>
              <w:t>Cena brutto</w:t>
            </w:r>
            <w:r w:rsidR="006F6FF2">
              <w:t xml:space="preserve"> za 1 </w:t>
            </w:r>
            <w:proofErr w:type="spellStart"/>
            <w:r w:rsidR="006F6FF2">
              <w:t>szt</w:t>
            </w:r>
            <w:proofErr w:type="spellEnd"/>
          </w:p>
        </w:tc>
      </w:tr>
      <w:tr w:rsidR="007B2F4E" w:rsidTr="00CA3761">
        <w:tc>
          <w:tcPr>
            <w:tcW w:w="2678" w:type="dxa"/>
          </w:tcPr>
          <w:p w:rsidR="007B2F4E" w:rsidRDefault="007B2F4E" w:rsidP="002275AE"/>
        </w:tc>
        <w:tc>
          <w:tcPr>
            <w:tcW w:w="3071" w:type="dxa"/>
          </w:tcPr>
          <w:p w:rsidR="007B2F4E" w:rsidRDefault="007B2F4E" w:rsidP="002275AE"/>
        </w:tc>
        <w:tc>
          <w:tcPr>
            <w:tcW w:w="2756" w:type="dxa"/>
          </w:tcPr>
          <w:p w:rsidR="007B2F4E" w:rsidRDefault="007B2F4E" w:rsidP="002275AE"/>
        </w:tc>
      </w:tr>
    </w:tbl>
    <w:p w:rsidR="00272FF0" w:rsidRDefault="00272FF0" w:rsidP="00532DE2">
      <w:pPr>
        <w:jc w:val="both"/>
        <w:rPr>
          <w:rFonts w:cs="Arial"/>
          <w:b/>
          <w:sz w:val="20"/>
          <w:szCs w:val="20"/>
        </w:rPr>
      </w:pPr>
    </w:p>
    <w:p w:rsidR="00272FF0" w:rsidRDefault="00272FF0" w:rsidP="00532DE2">
      <w:pPr>
        <w:jc w:val="both"/>
        <w:rPr>
          <w:rFonts w:cs="Arial"/>
          <w:b/>
          <w:sz w:val="20"/>
          <w:szCs w:val="20"/>
        </w:rPr>
      </w:pPr>
    </w:p>
    <w:p w:rsidR="00272FF0" w:rsidRPr="00FC08F7" w:rsidRDefault="00272FF0" w:rsidP="00470E05">
      <w:pPr>
        <w:ind w:firstLine="708"/>
        <w:rPr>
          <w:rFonts w:cs="Arial"/>
          <w:b/>
        </w:rPr>
      </w:pPr>
      <w:r w:rsidRPr="00FC08F7">
        <w:rPr>
          <w:rFonts w:cs="Arial"/>
          <w:b/>
        </w:rPr>
        <w:t xml:space="preserve">Oprogramowanie </w:t>
      </w:r>
      <w:proofErr w:type="spellStart"/>
      <w:r w:rsidRPr="00FC08F7">
        <w:rPr>
          <w:rFonts w:cs="Arial"/>
          <w:b/>
        </w:rPr>
        <w:t>wirtualizacyjne</w:t>
      </w:r>
      <w:proofErr w:type="spellEnd"/>
      <w:r w:rsidRPr="00FC08F7">
        <w:rPr>
          <w:rFonts w:cs="Arial"/>
          <w:b/>
        </w:rPr>
        <w:t xml:space="preserve"> – 1szt.</w:t>
      </w:r>
    </w:p>
    <w:tbl>
      <w:tblPr>
        <w:tblpPr w:leftFromText="141" w:rightFromText="141" w:vertAnchor="text" w:horzAnchor="margin" w:tblpXSpec="center" w:tblpY="54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4"/>
        <w:gridCol w:w="3547"/>
      </w:tblGrid>
      <w:tr w:rsidR="005C283E" w:rsidRPr="00F10CBB" w:rsidTr="005C283E">
        <w:trPr>
          <w:trHeight w:val="486"/>
        </w:trPr>
        <w:tc>
          <w:tcPr>
            <w:tcW w:w="5384" w:type="dxa"/>
            <w:shd w:val="clear" w:color="auto" w:fill="D0CECE" w:themeFill="background2" w:themeFillShade="E6"/>
          </w:tcPr>
          <w:p w:rsidR="005C283E" w:rsidRPr="00272FF0" w:rsidRDefault="005C283E" w:rsidP="005C283E">
            <w:pPr>
              <w:pStyle w:val="Akapitzlist1"/>
              <w:autoSpaceDE w:val="0"/>
              <w:spacing w:after="0" w:line="240" w:lineRule="auto"/>
              <w:ind w:left="-338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72FF0">
              <w:rPr>
                <w:rFonts w:ascii="Calibri Light" w:hAnsi="Calibri Light" w:cs="Calibri Light"/>
                <w:b/>
                <w:sz w:val="18"/>
                <w:szCs w:val="18"/>
              </w:rPr>
              <w:t>Minimalne wymagania</w:t>
            </w:r>
          </w:p>
        </w:tc>
        <w:tc>
          <w:tcPr>
            <w:tcW w:w="3547" w:type="dxa"/>
            <w:shd w:val="clear" w:color="auto" w:fill="D0CECE" w:themeFill="background2" w:themeFillShade="E6"/>
          </w:tcPr>
          <w:p w:rsidR="005C283E" w:rsidRPr="00272FF0" w:rsidRDefault="005C283E" w:rsidP="005C283E">
            <w:pPr>
              <w:pStyle w:val="Akapitzlist1"/>
              <w:autoSpaceDE w:val="0"/>
              <w:spacing w:after="0" w:line="240" w:lineRule="auto"/>
              <w:ind w:left="-338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72FF0">
              <w:rPr>
                <w:rFonts w:ascii="Calibri Light" w:hAnsi="Calibri Light" w:cs="Calibri Light"/>
                <w:b/>
                <w:sz w:val="18"/>
                <w:szCs w:val="18"/>
              </w:rPr>
              <w:t>Oferowany parametr</w:t>
            </w:r>
          </w:p>
        </w:tc>
      </w:tr>
      <w:tr w:rsidR="005C283E" w:rsidRPr="00F10CBB" w:rsidTr="005C283E">
        <w:trPr>
          <w:trHeight w:val="486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Warstwa wirtualizacji powinna być rozwiązaniem systemowym tzn. powinna być zainstalowana bezpośrednio na sprzęcie fizycznym. </w:t>
            </w: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C283E" w:rsidRPr="00F10CBB" w:rsidTr="005C283E">
        <w:trPr>
          <w:trHeight w:val="517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Rozwiązanie powinno zapewnić możliwość obsługi wielu instancji systemów operacyjnych na jednym serwerze fizycznym i powinno się charakteryzować maksymalnym możliwym stopniem konsolidacji sprzętowej. </w:t>
            </w: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C283E" w:rsidRPr="00F10CBB" w:rsidTr="005C283E">
        <w:trPr>
          <w:trHeight w:val="501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Oprogramowanie do wirtualizacji musi zapewnić możliwość skonfigurowania maszyn wirtualnych z możliwością dostępu do min 6TB pamięci operacyjnej. </w:t>
            </w: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C283E" w:rsidRPr="00F10CBB" w:rsidTr="005C283E">
        <w:trPr>
          <w:trHeight w:val="517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t>Oprogramowanie do wirtualizacji musi zapewnić możliwość skonfigurowania maszyn wirtualnych  do 128  procesorów wirtualnych każda z  krokiem co jeden)</w:t>
            </w: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C283E" w:rsidRPr="00F10CBB" w:rsidTr="005C283E">
        <w:trPr>
          <w:trHeight w:val="564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Rozwiązanie powinno umożliwiać łatwą i szybką rozbudowę infrastruktury o nowe usługi bez spadku wydajności i dostępności pozostałych wybranych usług. </w:t>
            </w: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C283E" w:rsidRPr="00F10CBB" w:rsidTr="005C283E">
        <w:trPr>
          <w:trHeight w:val="359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Rozwiązanie powinno w możliwie największym stopniu być niezależne od producenta platformy sprzętowej. </w:t>
            </w: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C283E" w:rsidRPr="00F10CBB" w:rsidTr="005C283E">
        <w:trPr>
          <w:trHeight w:val="1160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Rozwiązanie powinno wspierać następujące systemy operacyjne: Windows XP, Windows Vista, Windows 7, Windows 2000, Windows Server 2003, Windows Server 2008, Windows Server 2008R2, Windows Server 2012, Windows Server 2016, Windows Server 2019, RHEL w wersjach 3.x do 7.x, </w:t>
            </w:r>
            <w:proofErr w:type="spellStart"/>
            <w:r w:rsidRPr="00F10CBB">
              <w:rPr>
                <w:rFonts w:ascii="Calibri Light" w:hAnsi="Calibri Light" w:cs="Calibri Light"/>
                <w:sz w:val="18"/>
                <w:szCs w:val="18"/>
              </w:rPr>
              <w:t>Debian</w:t>
            </w:r>
            <w:proofErr w:type="spellEnd"/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 w wersjach 6x – 9.x, </w:t>
            </w:r>
            <w:proofErr w:type="spellStart"/>
            <w:r w:rsidRPr="00F10CBB">
              <w:rPr>
                <w:rFonts w:ascii="Calibri Light" w:hAnsi="Calibri Light" w:cs="Calibri Light"/>
                <w:sz w:val="18"/>
                <w:szCs w:val="18"/>
              </w:rPr>
              <w:t>CentOS</w:t>
            </w:r>
            <w:proofErr w:type="spellEnd"/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 w wersjach 5.x – 7.x, Oracle Linux w wersjach 4.9 – 7.x, </w:t>
            </w:r>
            <w:proofErr w:type="spellStart"/>
            <w:r w:rsidRPr="00F10CBB">
              <w:rPr>
                <w:rFonts w:ascii="Calibri Light" w:hAnsi="Calibri Light" w:cs="Calibri Light"/>
                <w:sz w:val="18"/>
                <w:szCs w:val="18"/>
              </w:rPr>
              <w:t>FreeBSD</w:t>
            </w:r>
            <w:proofErr w:type="spellEnd"/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 w wersjach 7.x – 11.x,  </w:t>
            </w:r>
            <w:proofErr w:type="spellStart"/>
            <w:r w:rsidRPr="00F10CBB">
              <w:rPr>
                <w:rFonts w:ascii="Calibri Light" w:hAnsi="Calibri Light" w:cs="Calibri Light"/>
                <w:sz w:val="18"/>
                <w:szCs w:val="18"/>
              </w:rPr>
              <w:t>Ubuntu</w:t>
            </w:r>
            <w:proofErr w:type="spellEnd"/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 , SCO </w:t>
            </w:r>
            <w:proofErr w:type="spellStart"/>
            <w:r w:rsidRPr="00F10CBB">
              <w:rPr>
                <w:rFonts w:ascii="Calibri Light" w:hAnsi="Calibri Light" w:cs="Calibri Light"/>
                <w:sz w:val="18"/>
                <w:szCs w:val="18"/>
              </w:rPr>
              <w:t>OpenServer</w:t>
            </w:r>
            <w:proofErr w:type="spellEnd"/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, SCO </w:t>
            </w:r>
            <w:proofErr w:type="spellStart"/>
            <w:r w:rsidRPr="00F10CBB">
              <w:rPr>
                <w:rFonts w:ascii="Calibri Light" w:hAnsi="Calibri Light" w:cs="Calibri Light"/>
                <w:sz w:val="18"/>
                <w:szCs w:val="18"/>
              </w:rPr>
              <w:t>Unixware</w:t>
            </w:r>
            <w:proofErr w:type="spellEnd"/>
            <w:r w:rsidRPr="00F10CBB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C283E" w:rsidRPr="00F10CBB" w:rsidTr="005C283E">
        <w:trPr>
          <w:trHeight w:val="547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Rozwiązanie powinno posiadać centralną konsolę graficzną do zarządzania maszynami wirtualnymi i usługami. </w:t>
            </w:r>
          </w:p>
          <w:p w:rsidR="005C283E" w:rsidRPr="00F10CBB" w:rsidRDefault="005C283E" w:rsidP="005C283E">
            <w:pPr>
              <w:pStyle w:val="Akapitzlist1"/>
              <w:autoSpaceDE w:val="0"/>
              <w:spacing w:after="0" w:line="240" w:lineRule="auto"/>
              <w:ind w:left="-338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C283E" w:rsidRPr="00F10CBB" w:rsidTr="005C283E">
        <w:trPr>
          <w:trHeight w:val="557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t>Rozwiązanie powinno zapewnić możliwość monitorowania wykorzystania zasobów fizycznych infrastruktury wirtualnej.</w:t>
            </w: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C283E" w:rsidRPr="00F10CBB" w:rsidTr="005C283E">
        <w:trPr>
          <w:trHeight w:val="501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Oprogramowanie do wirtualizacji powinno zapewnić możliwość wykonywania kopii migawkowych instancji systemów operacyjnych na potrzeby tworzenia kopii zapasowych bez przerywania ich pracy. </w:t>
            </w: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C283E" w:rsidRPr="00F10CBB" w:rsidTr="005C283E">
        <w:trPr>
          <w:trHeight w:val="517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Oprogramowanie do wirtualizacji powinno zapewnić możliwość klonowania systemów operacyjnych wraz z ich pełną konfiguracją i danymi. </w:t>
            </w: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C283E" w:rsidRPr="00F10CBB" w:rsidTr="005C283E">
        <w:trPr>
          <w:trHeight w:val="517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Oprogramowanie zarządzające musi posiadać możliwość przydzielania i konfiguracji uprawnień z możliwością integracji z usługami katalogowymi Microsoft Active Directory. </w:t>
            </w: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C283E" w:rsidRPr="00F10CBB" w:rsidTr="005C283E">
        <w:trPr>
          <w:trHeight w:val="549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t>Rozwiązanie musi umożliwiać udostepnienie maszynie wirtualnej większej ilości zasobów dyskowych aniżeli fizycznie zarezerwowane.</w:t>
            </w: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C283E" w:rsidRPr="00F10CBB" w:rsidTr="005C283E">
        <w:trPr>
          <w:trHeight w:val="517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Rozwiązanie powinno mieć możliwość przenoszenia maszyn wirtualnych w czasie ich pracy pomiędzy serwerami fizycznymi. </w:t>
            </w: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C283E" w:rsidRPr="00F10CBB" w:rsidTr="005C283E">
        <w:trPr>
          <w:trHeight w:val="705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t>Powinna zostać zapewniona odpowiednia redundancja i nadmiarowość zasobów tak by w przypadku awarii np. serwera fizycznego usługi na nim świadczone zostały przełączone na inne serwery infrastruktury. Czas niedostępności innych usług nie powinien przekraczać kilkunastu minut</w:t>
            </w: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C283E" w:rsidRPr="00F10CBB" w:rsidTr="005C283E">
        <w:trPr>
          <w:trHeight w:val="486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t>Rozwiązanie powinno umożliwiać łatwe i szybkie ponowne uruchomienie systemów/usług w przypadku awarii poszczególnych elementów infrastruktury.</w:t>
            </w: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C283E" w:rsidRPr="00F10CBB" w:rsidTr="005C283E">
        <w:trPr>
          <w:trHeight w:val="752"/>
        </w:trPr>
        <w:tc>
          <w:tcPr>
            <w:tcW w:w="5384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Rozwiązanie powinno zapewniać mechanizm bezpiecznego uaktualniania warstwy </w:t>
            </w:r>
            <w:proofErr w:type="spellStart"/>
            <w:r w:rsidRPr="00F10CBB">
              <w:rPr>
                <w:rFonts w:ascii="Calibri Light" w:hAnsi="Calibri Light" w:cs="Calibri Light"/>
                <w:sz w:val="18"/>
                <w:szCs w:val="18"/>
              </w:rPr>
              <w:t>wirtualizacyjnej</w:t>
            </w:r>
            <w:proofErr w:type="spellEnd"/>
            <w:r w:rsidRPr="00F10CBB">
              <w:rPr>
                <w:rFonts w:ascii="Calibri Light" w:hAnsi="Calibri Light" w:cs="Calibri Light"/>
                <w:sz w:val="18"/>
                <w:szCs w:val="18"/>
              </w:rPr>
              <w:t xml:space="preserve">, hostowanych systemów operacyjnych (np. wgrywania </w:t>
            </w:r>
            <w:proofErr w:type="spellStart"/>
            <w:r w:rsidRPr="00F10CBB">
              <w:rPr>
                <w:rFonts w:ascii="Calibri Light" w:hAnsi="Calibri Light" w:cs="Calibri Light"/>
                <w:sz w:val="18"/>
                <w:szCs w:val="18"/>
              </w:rPr>
              <w:t>patch</w:t>
            </w:r>
            <w:proofErr w:type="spellEnd"/>
            <w:r w:rsidRPr="00F10CBB">
              <w:rPr>
                <w:rFonts w:ascii="Calibri Light" w:hAnsi="Calibri Light" w:cs="Calibri Light"/>
                <w:sz w:val="18"/>
                <w:szCs w:val="18"/>
              </w:rPr>
              <w:t>-y) i aplikacji tak, aby zminimalizować ryzyko awarii systemu na skutek wprowadzenia zmiany.</w:t>
            </w:r>
          </w:p>
        </w:tc>
        <w:tc>
          <w:tcPr>
            <w:tcW w:w="3547" w:type="dxa"/>
          </w:tcPr>
          <w:p w:rsidR="005C283E" w:rsidRPr="00F10CBB" w:rsidRDefault="005C283E" w:rsidP="005C283E">
            <w:pPr>
              <w:pStyle w:val="Akapitzlist1"/>
              <w:numPr>
                <w:ilvl w:val="0"/>
                <w:numId w:val="16"/>
              </w:numPr>
              <w:autoSpaceDE w:val="0"/>
              <w:spacing w:after="0" w:line="240" w:lineRule="auto"/>
              <w:ind w:left="2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272FF0" w:rsidRDefault="00272FF0" w:rsidP="005C283E">
      <w:pPr>
        <w:jc w:val="both"/>
        <w:rPr>
          <w:rFonts w:cs="Arial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039"/>
      </w:tblGrid>
      <w:tr w:rsidR="00CA3761" w:rsidTr="00CA3761">
        <w:tc>
          <w:tcPr>
            <w:tcW w:w="2962" w:type="dxa"/>
          </w:tcPr>
          <w:p w:rsidR="00CA3761" w:rsidRPr="00005FB4" w:rsidRDefault="00CA3761" w:rsidP="00005FB4">
            <w:pPr>
              <w:tabs>
                <w:tab w:val="left" w:pos="348"/>
              </w:tabs>
              <w:spacing w:line="240" w:lineRule="auto"/>
              <w:rPr>
                <w:sz w:val="18"/>
                <w:szCs w:val="18"/>
              </w:rPr>
            </w:pPr>
            <w:r w:rsidRPr="00005FB4">
              <w:rPr>
                <w:rFonts w:asciiTheme="minorHAnsi" w:hAnsiTheme="minorHAnsi" w:cstheme="minorHAnsi"/>
                <w:sz w:val="18"/>
                <w:szCs w:val="18"/>
              </w:rPr>
              <w:t>Opis produktu</w:t>
            </w:r>
            <w:r w:rsidR="00005FB4" w:rsidRPr="00005FB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005FB4" w:rsidRPr="00005FB4">
              <w:rPr>
                <w:rFonts w:asciiTheme="minorHAnsi" w:hAnsiTheme="minorHAnsi" w:cstheme="minorHAnsi"/>
                <w:bCs/>
                <w:sz w:val="18"/>
                <w:szCs w:val="18"/>
              </w:rPr>
              <w:t>producent, dokładna nazwa oferowanego oprogramowania; okres wsparcia technicznego i aktualizacji)</w:t>
            </w:r>
          </w:p>
        </w:tc>
        <w:tc>
          <w:tcPr>
            <w:tcW w:w="3071" w:type="dxa"/>
          </w:tcPr>
          <w:p w:rsidR="00CA3761" w:rsidRDefault="00CA3761" w:rsidP="002275AE">
            <w:r>
              <w:t>Cena netto</w:t>
            </w:r>
            <w:r w:rsidR="006F6FF2">
              <w:t xml:space="preserve"> za 1 </w:t>
            </w:r>
            <w:proofErr w:type="spellStart"/>
            <w:r w:rsidR="006F6FF2">
              <w:t>szt</w:t>
            </w:r>
            <w:proofErr w:type="spellEnd"/>
          </w:p>
        </w:tc>
        <w:tc>
          <w:tcPr>
            <w:tcW w:w="3039" w:type="dxa"/>
          </w:tcPr>
          <w:p w:rsidR="00CA3761" w:rsidRDefault="00CA3761" w:rsidP="002275AE">
            <w:r>
              <w:t>Cena brutto</w:t>
            </w:r>
            <w:r w:rsidR="006F6FF2">
              <w:t xml:space="preserve"> za 1 szt</w:t>
            </w:r>
          </w:p>
        </w:tc>
      </w:tr>
      <w:tr w:rsidR="00CA3761" w:rsidTr="00CA3761">
        <w:tc>
          <w:tcPr>
            <w:tcW w:w="2962" w:type="dxa"/>
          </w:tcPr>
          <w:p w:rsidR="00CA3761" w:rsidRDefault="00CA3761" w:rsidP="002275AE"/>
        </w:tc>
        <w:tc>
          <w:tcPr>
            <w:tcW w:w="3071" w:type="dxa"/>
          </w:tcPr>
          <w:p w:rsidR="00CA3761" w:rsidRDefault="00CA3761" w:rsidP="002275AE"/>
        </w:tc>
        <w:tc>
          <w:tcPr>
            <w:tcW w:w="3039" w:type="dxa"/>
          </w:tcPr>
          <w:p w:rsidR="00CA3761" w:rsidRDefault="00CA3761" w:rsidP="002275AE"/>
        </w:tc>
      </w:tr>
    </w:tbl>
    <w:p w:rsidR="00CA3761" w:rsidRDefault="00CA3761" w:rsidP="005C283E">
      <w:pPr>
        <w:jc w:val="both"/>
        <w:rPr>
          <w:rFonts w:cs="Arial"/>
          <w:b/>
          <w:sz w:val="20"/>
          <w:szCs w:val="20"/>
        </w:rPr>
      </w:pPr>
    </w:p>
    <w:sectPr w:rsidR="00CA3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pStyle w:val="Nagwek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18"/>
      </w:rPr>
    </w:lvl>
  </w:abstractNum>
  <w:abstractNum w:abstractNumId="3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5413362"/>
    <w:multiLevelType w:val="multilevel"/>
    <w:tmpl w:val="FDE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52FF3"/>
    <w:multiLevelType w:val="multilevel"/>
    <w:tmpl w:val="0E352FF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F393625"/>
    <w:multiLevelType w:val="multilevel"/>
    <w:tmpl w:val="E50E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41ECC"/>
    <w:multiLevelType w:val="multilevel"/>
    <w:tmpl w:val="766E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D70A38"/>
    <w:multiLevelType w:val="multilevel"/>
    <w:tmpl w:val="83AC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B4D84"/>
    <w:multiLevelType w:val="multilevel"/>
    <w:tmpl w:val="F9E8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96ED9"/>
    <w:multiLevelType w:val="multilevel"/>
    <w:tmpl w:val="9B88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D134E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3DC50244"/>
    <w:multiLevelType w:val="multilevel"/>
    <w:tmpl w:val="406C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7158C"/>
    <w:multiLevelType w:val="multilevel"/>
    <w:tmpl w:val="B5C4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CD48BA"/>
    <w:multiLevelType w:val="multilevel"/>
    <w:tmpl w:val="94E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6543F9"/>
    <w:multiLevelType w:val="multilevel"/>
    <w:tmpl w:val="C2E8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6"/>
  </w:num>
  <w:num w:numId="8">
    <w:abstractNumId w:val="13"/>
  </w:num>
  <w:num w:numId="9">
    <w:abstractNumId w:val="9"/>
  </w:num>
  <w:num w:numId="10">
    <w:abstractNumId w:val="15"/>
  </w:num>
  <w:num w:numId="11">
    <w:abstractNumId w:val="4"/>
  </w:num>
  <w:num w:numId="12">
    <w:abstractNumId w:val="12"/>
  </w:num>
  <w:num w:numId="13">
    <w:abstractNumId w:val="14"/>
  </w:num>
  <w:num w:numId="14">
    <w:abstractNumId w:val="1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B4"/>
    <w:rsid w:val="00005FB4"/>
    <w:rsid w:val="00022E3E"/>
    <w:rsid w:val="00057FB4"/>
    <w:rsid w:val="000F08A1"/>
    <w:rsid w:val="002275AE"/>
    <w:rsid w:val="00272FF0"/>
    <w:rsid w:val="0033334F"/>
    <w:rsid w:val="00393596"/>
    <w:rsid w:val="00470E05"/>
    <w:rsid w:val="004A795B"/>
    <w:rsid w:val="00532DE2"/>
    <w:rsid w:val="005C283E"/>
    <w:rsid w:val="006F6FF2"/>
    <w:rsid w:val="007B2F4E"/>
    <w:rsid w:val="0088463F"/>
    <w:rsid w:val="009604E3"/>
    <w:rsid w:val="00A26AFB"/>
    <w:rsid w:val="00A64FDC"/>
    <w:rsid w:val="00A93976"/>
    <w:rsid w:val="00B26240"/>
    <w:rsid w:val="00C43F63"/>
    <w:rsid w:val="00CA3761"/>
    <w:rsid w:val="00E44A9E"/>
    <w:rsid w:val="00E82F32"/>
    <w:rsid w:val="00F26AB4"/>
    <w:rsid w:val="00F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FB4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7FB4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57FB4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Nagwek2Znak">
    <w:name w:val="Nagłówek 2 Znak"/>
    <w:basedOn w:val="Domylnaczcionkaakapitu"/>
    <w:link w:val="Nagwek2"/>
    <w:rsid w:val="00057FB4"/>
    <w:rPr>
      <w:rFonts w:ascii="Calibri Light" w:eastAsia="Times New Roman" w:hAnsi="Calibri Light" w:cs="Times New Roman"/>
      <w:color w:val="2E74B5"/>
      <w:sz w:val="26"/>
      <w:szCs w:val="26"/>
      <w:lang w:eastAsia="zh-CN"/>
    </w:rPr>
  </w:style>
  <w:style w:type="character" w:styleId="Odwoaniedokomentarza">
    <w:name w:val="annotation reference"/>
    <w:uiPriority w:val="99"/>
    <w:unhideWhenUsed/>
    <w:qFormat/>
    <w:rsid w:val="00532DE2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532DE2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532DE2"/>
    <w:rPr>
      <w:rFonts w:ascii="Times New Roman" w:eastAsia="Times New Roman" w:hAnsi="Times New Roman"/>
    </w:rPr>
  </w:style>
  <w:style w:type="character" w:customStyle="1" w:styleId="TytuZnak">
    <w:name w:val="Tytuł Znak"/>
    <w:link w:val="Tytu"/>
    <w:rsid w:val="00532DE2"/>
    <w:rPr>
      <w:rFonts w:ascii="Arial" w:eastAsia="Times New Roman" w:hAnsi="Arial"/>
      <w:b/>
      <w:bCs/>
      <w:sz w:val="28"/>
    </w:rPr>
  </w:style>
  <w:style w:type="paragraph" w:styleId="NormalnyWeb">
    <w:name w:val="Normal (Web)"/>
    <w:basedOn w:val="Normalny"/>
    <w:uiPriority w:val="99"/>
    <w:rsid w:val="00532DE2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32DE2"/>
    <w:pPr>
      <w:suppressAutoHyphens w:val="0"/>
      <w:spacing w:after="120" w:line="240" w:lineRule="auto"/>
      <w:ind w:left="283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32DE2"/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32DE2"/>
    <w:pPr>
      <w:suppressAutoHyphens w:val="0"/>
      <w:spacing w:after="0" w:line="240" w:lineRule="auto"/>
    </w:pPr>
    <w:rPr>
      <w:rFonts w:ascii="Times New Roman" w:eastAsia="Times New Roman" w:hAnsi="Times New Roman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32DE2"/>
    <w:rPr>
      <w:rFonts w:ascii="Calibri" w:eastAsia="Calibri" w:hAnsi="Calibri" w:cs="Times New Roman"/>
      <w:sz w:val="20"/>
      <w:szCs w:val="20"/>
      <w:lang w:eastAsia="zh-CN"/>
    </w:rPr>
  </w:style>
  <w:style w:type="paragraph" w:styleId="Tytu">
    <w:name w:val="Title"/>
    <w:basedOn w:val="Normalny"/>
    <w:link w:val="TytuZnak"/>
    <w:qFormat/>
    <w:rsid w:val="00532DE2"/>
    <w:pPr>
      <w:suppressAutoHyphens w:val="0"/>
      <w:spacing w:after="200" w:line="276" w:lineRule="auto"/>
      <w:jc w:val="center"/>
    </w:pPr>
    <w:rPr>
      <w:rFonts w:ascii="Arial" w:eastAsia="Times New Roman" w:hAnsi="Arial" w:cstheme="minorBidi"/>
      <w:b/>
      <w:bCs/>
      <w:sz w:val="28"/>
      <w:lang w:eastAsia="en-US"/>
    </w:rPr>
  </w:style>
  <w:style w:type="character" w:customStyle="1" w:styleId="TytuZnak1">
    <w:name w:val="Tytuł Znak1"/>
    <w:basedOn w:val="Domylnaczcionkaakapitu"/>
    <w:uiPriority w:val="10"/>
    <w:rsid w:val="00532DE2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FR1">
    <w:name w:val="FR1"/>
    <w:rsid w:val="00532DE2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82F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table" w:styleId="Tabela-Siatka">
    <w:name w:val="Table Grid"/>
    <w:basedOn w:val="Standardowy"/>
    <w:uiPriority w:val="39"/>
    <w:rsid w:val="0033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05FB4"/>
    <w:pPr>
      <w:spacing w:line="254" w:lineRule="auto"/>
      <w:ind w:left="720"/>
      <w:contextualSpacing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5AE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FB4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7FB4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57FB4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Nagwek2Znak">
    <w:name w:val="Nagłówek 2 Znak"/>
    <w:basedOn w:val="Domylnaczcionkaakapitu"/>
    <w:link w:val="Nagwek2"/>
    <w:rsid w:val="00057FB4"/>
    <w:rPr>
      <w:rFonts w:ascii="Calibri Light" w:eastAsia="Times New Roman" w:hAnsi="Calibri Light" w:cs="Times New Roman"/>
      <w:color w:val="2E74B5"/>
      <w:sz w:val="26"/>
      <w:szCs w:val="26"/>
      <w:lang w:eastAsia="zh-CN"/>
    </w:rPr>
  </w:style>
  <w:style w:type="character" w:styleId="Odwoaniedokomentarza">
    <w:name w:val="annotation reference"/>
    <w:uiPriority w:val="99"/>
    <w:unhideWhenUsed/>
    <w:qFormat/>
    <w:rsid w:val="00532DE2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532DE2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532DE2"/>
    <w:rPr>
      <w:rFonts w:ascii="Times New Roman" w:eastAsia="Times New Roman" w:hAnsi="Times New Roman"/>
    </w:rPr>
  </w:style>
  <w:style w:type="character" w:customStyle="1" w:styleId="TytuZnak">
    <w:name w:val="Tytuł Znak"/>
    <w:link w:val="Tytu"/>
    <w:rsid w:val="00532DE2"/>
    <w:rPr>
      <w:rFonts w:ascii="Arial" w:eastAsia="Times New Roman" w:hAnsi="Arial"/>
      <w:b/>
      <w:bCs/>
      <w:sz w:val="28"/>
    </w:rPr>
  </w:style>
  <w:style w:type="paragraph" w:styleId="NormalnyWeb">
    <w:name w:val="Normal (Web)"/>
    <w:basedOn w:val="Normalny"/>
    <w:uiPriority w:val="99"/>
    <w:rsid w:val="00532DE2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32DE2"/>
    <w:pPr>
      <w:suppressAutoHyphens w:val="0"/>
      <w:spacing w:after="120" w:line="240" w:lineRule="auto"/>
      <w:ind w:left="283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32DE2"/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32DE2"/>
    <w:pPr>
      <w:suppressAutoHyphens w:val="0"/>
      <w:spacing w:after="0" w:line="240" w:lineRule="auto"/>
    </w:pPr>
    <w:rPr>
      <w:rFonts w:ascii="Times New Roman" w:eastAsia="Times New Roman" w:hAnsi="Times New Roman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32DE2"/>
    <w:rPr>
      <w:rFonts w:ascii="Calibri" w:eastAsia="Calibri" w:hAnsi="Calibri" w:cs="Times New Roman"/>
      <w:sz w:val="20"/>
      <w:szCs w:val="20"/>
      <w:lang w:eastAsia="zh-CN"/>
    </w:rPr>
  </w:style>
  <w:style w:type="paragraph" w:styleId="Tytu">
    <w:name w:val="Title"/>
    <w:basedOn w:val="Normalny"/>
    <w:link w:val="TytuZnak"/>
    <w:qFormat/>
    <w:rsid w:val="00532DE2"/>
    <w:pPr>
      <w:suppressAutoHyphens w:val="0"/>
      <w:spacing w:after="200" w:line="276" w:lineRule="auto"/>
      <w:jc w:val="center"/>
    </w:pPr>
    <w:rPr>
      <w:rFonts w:ascii="Arial" w:eastAsia="Times New Roman" w:hAnsi="Arial" w:cstheme="minorBidi"/>
      <w:b/>
      <w:bCs/>
      <w:sz w:val="28"/>
      <w:lang w:eastAsia="en-US"/>
    </w:rPr>
  </w:style>
  <w:style w:type="character" w:customStyle="1" w:styleId="TytuZnak1">
    <w:name w:val="Tytuł Znak1"/>
    <w:basedOn w:val="Domylnaczcionkaakapitu"/>
    <w:uiPriority w:val="10"/>
    <w:rsid w:val="00532DE2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FR1">
    <w:name w:val="FR1"/>
    <w:rsid w:val="00532DE2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82F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table" w:styleId="Tabela-Siatka">
    <w:name w:val="Table Grid"/>
    <w:basedOn w:val="Standardowy"/>
    <w:uiPriority w:val="39"/>
    <w:rsid w:val="0033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05FB4"/>
    <w:pPr>
      <w:spacing w:line="254" w:lineRule="auto"/>
      <w:ind w:left="720"/>
      <w:contextualSpacing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5A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B58F6-2B2E-4E01-A317-A94FF709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1652BEB</Template>
  <TotalTime>233</TotalTime>
  <Pages>6</Pages>
  <Words>1559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Eryk</dc:creator>
  <cp:lastModifiedBy>annaczapska</cp:lastModifiedBy>
  <cp:revision>11</cp:revision>
  <cp:lastPrinted>2020-09-16T10:24:00Z</cp:lastPrinted>
  <dcterms:created xsi:type="dcterms:W3CDTF">2020-09-07T11:05:00Z</dcterms:created>
  <dcterms:modified xsi:type="dcterms:W3CDTF">2020-09-16T11:11:00Z</dcterms:modified>
</cp:coreProperties>
</file>